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33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15"/>
        <w:gridCol w:w="394"/>
        <w:gridCol w:w="1931"/>
        <w:gridCol w:w="426"/>
        <w:gridCol w:w="7"/>
        <w:gridCol w:w="1346"/>
        <w:gridCol w:w="37"/>
        <w:gridCol w:w="412"/>
        <w:gridCol w:w="32"/>
        <w:gridCol w:w="1682"/>
        <w:gridCol w:w="1050"/>
      </w:tblGrid>
      <w:tr>
        <w:trPr>
          <w:trHeight w:val="379"/>
          <w:jc w:val="center"/>
        </w:trPr>
        <w:tc>
          <w:tcPr>
            <w:tcW w:w="220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35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34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32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638"/>
          <w:jc w:val="center"/>
        </w:trPr>
        <w:tc>
          <w:tcPr>
            <w:tcW w:w="220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5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beosztás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számlavezető pénzintézet és Számlaszám</w:t>
            </w:r>
          </w:p>
        </w:tc>
        <w:tc>
          <w:tcPr>
            <w:tcW w:w="1834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273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489"/>
          <w:jc w:val="center"/>
        </w:trPr>
        <w:tc>
          <w:tcPr>
            <w:tcW w:w="2207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3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9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20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eastAsia="SimSun" w:hAnsi="Arial" w:cs="Arial"/>
                <w:b/>
                <w:sz w:val="18"/>
                <w:szCs w:val="16"/>
              </w:rPr>
              <w:t xml:space="preserve">Igényelt támogatás részletei </w:t>
            </w:r>
          </w:p>
        </w:tc>
      </w:tr>
      <w:tr>
        <w:trPr>
          <w:trHeight w:val="619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Bruttó bér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(Ft/fő/hó)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Napi munkaidő (óra)</w:t>
            </w:r>
          </w:p>
        </w:tc>
      </w:tr>
      <w:tr>
        <w:trPr>
          <w:trHeight w:val="68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14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color w:val="0070C0"/>
                  <w:sz w:val="18"/>
                  <w:szCs w:val="18"/>
                </w:rPr>
                <w:t>www.munka.hu</w:t>
              </w:r>
            </w:hyperlink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58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3"/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</w:p>
        </w:tc>
      </w:tr>
      <w:tr>
        <w:trPr>
          <w:trHeight w:val="2210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12 havi (nettó) átlagos statisztikai állományi létszáma (ld. „Útmutató munkáltató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</w:p>
    <w:p>
      <w:pPr>
        <w:spacing w:before="40" w:after="40"/>
        <w:ind w:left="5670"/>
        <w:jc w:val="center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ab/>
      </w: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aláírása*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*Elektronikus ügyintézés esetén elektronikus aláírással és időbélyegzővel ellátva</w:t>
      </w:r>
    </w:p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bookmarkStart w:id="1" w:name="_GoBack"/>
      <w:bookmarkEnd w:id="1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Martonvásári Járási Hivatal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2462 Martonvásár, Budai út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06-22-460-081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hivatal.martonvasar@fejer.gov.hu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Martonvásári Járási Hivatal Foglalkoztatási Osztály</w:t>
    </w:r>
  </w:p>
  <w:p>
    <w:pPr>
      <w:pStyle w:val="llb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2451 Ercsi, Fő u. 34.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06-25-520-750,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foglalkoztatas.martonvasar@fejer.gov.hu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-16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 </w:t>
    </w:r>
    <w:r>
      <w:rPr>
        <w:rFonts w:ascii="Arial" w:hAnsi="Arial" w:cs="Arial"/>
        <w:color w:val="808080" w:themeColor="background1" w:themeShade="80"/>
        <w:sz w:val="16"/>
        <w:szCs w:val="16"/>
      </w:rPr>
      <w:t>kedd: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szerda: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-17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 </w:t>
    </w:r>
    <w:r>
      <w:rPr>
        <w:rFonts w:ascii="Arial" w:hAnsi="Arial" w:cs="Arial"/>
        <w:color w:val="808080" w:themeColor="background1" w:themeShade="80"/>
        <w:sz w:val="16"/>
        <w:szCs w:val="16"/>
      </w:rPr>
      <w:t>péntek: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</w:p>
  <w:p>
    <w:pPr>
      <w:pStyle w:val="llb"/>
      <w:ind w:left="-567"/>
      <w:jc w:val="center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page">
            <wp:posOffset>57239</wp:posOffset>
          </wp:positionH>
          <wp:positionV relativeFrom="paragraph">
            <wp:posOffset>-225425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Martonvásári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artonvasar@fejer.gov.hu" TargetMode="External"/><Relationship Id="rId1" Type="http://schemas.openxmlformats.org/officeDocument/2006/relationships/hyperlink" Target="mailto:hivatal.martonvasa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7C6D8-FC82-4E45-90A4-DAD281EC4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dcterms:created xsi:type="dcterms:W3CDTF">2025-07-28T10:52:00Z</dcterms:created>
  <dcterms:modified xsi:type="dcterms:W3CDTF">2025-12-04T08:29:00Z</dcterms:modified>
</cp:coreProperties>
</file>